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rPr>
          <w:rFonts w:ascii="Xunta Sans" w:hAnsi="Xunta Sans" w:eastAsia="Xunta Sans" w:cs="Xunta Sans"/>
          <w:b/>
          <w:bCs/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</w:r>
    </w:p>
    <w:p>
      <w:pPr>
        <w:pStyle w:val="Cos"/>
        <w:rPr>
          <w:rFonts w:ascii="Xunta Sans" w:hAnsi="Xunta Sans" w:eastAsia="Xunta Sans" w:cs="Xunta Sans"/>
          <w:b/>
          <w:bCs/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</w:r>
    </w:p>
    <w:p>
      <w:pPr>
        <w:pStyle w:val="Cos"/>
        <w:jc w:val="center"/>
        <w:rPr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sz w:val="40"/>
          <w:szCs w:val="40"/>
          <w:u w:val="none" w:color="007BC4"/>
          <w:lang w:val="gl-ES"/>
        </w:rPr>
        <w:t>TRABALLO FIN DE ESTUDOS</w:t>
      </w:r>
    </w:p>
    <w:p>
      <w:pPr>
        <w:pStyle w:val="Cos"/>
        <w:jc w:val="center"/>
        <w:rPr>
          <w:rFonts w:ascii="Xunta Sans" w:hAnsi="Xunta Sans" w:eastAsia="Xunta Sans" w:cs="Xunta Sans"/>
          <w:b/>
          <w:bCs/>
          <w:color w:val="007BC4"/>
          <w:sz w:val="40"/>
          <w:szCs w:val="40"/>
          <w:u w:val="none" w:color="007BC4"/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sz w:val="40"/>
          <w:szCs w:val="40"/>
          <w:u w:val="none" w:color="007BC4"/>
          <w:lang w:val="gl-ES"/>
        </w:rPr>
      </w:r>
    </w:p>
    <w:p>
      <w:pPr>
        <w:pStyle w:val="Cos"/>
        <w:jc w:val="center"/>
        <w:rPr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sz w:val="40"/>
          <w:szCs w:val="40"/>
          <w:lang w:val="gl-ES"/>
        </w:rPr>
        <w:t>Guía básica</w:t>
      </w:r>
    </w:p>
    <w:p>
      <w:pPr>
        <w:pStyle w:val="Cos"/>
        <w:rPr>
          <w:rFonts w:ascii="Xunta Sans" w:hAnsi="Xunta Sans" w:eastAsia="Xunta Sans" w:cs="Xunta Sans"/>
          <w:sz w:val="40"/>
          <w:szCs w:val="40"/>
          <w:lang w:val="gl-ES"/>
        </w:rPr>
      </w:pPr>
      <w:r>
        <w:rPr>
          <w:rFonts w:eastAsia="Xunta Sans" w:cs="Xunta Sans" w:ascii="Xunta Sans" w:hAnsi="Xunta Sans"/>
          <w:sz w:val="40"/>
          <w:szCs w:val="40"/>
          <w:lang w:val="gl-ES"/>
        </w:rPr>
      </w:r>
    </w:p>
    <w:p>
      <w:pPr>
        <w:pStyle w:val="Cos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635</wp:posOffset>
                </wp:positionH>
                <wp:positionV relativeFrom="paragraph">
                  <wp:posOffset>-1270</wp:posOffset>
                </wp:positionV>
                <wp:extent cx="6708140" cy="91440"/>
                <wp:effectExtent l="0" t="0" r="0" b="0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240" cy="91440"/>
                        </a:xfrm>
                        <a:prstGeom prst="rect">
                          <a:avLst/>
                        </a:prstGeom>
                        <a:solidFill>
                          <a:srgbClr val="b0b82e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path="m0,0l-2147483645,0l-2147483645,-2147483646l0,-2147483646xe" fillcolor="#b0b82e" stroked="f" o:allowincell="f" style="position:absolute;margin-left:0.05pt;margin-top:-0.1pt;width:528.15pt;height:7.15pt;mso-wrap-style:none;v-text-anchor:middle">
                <v:fill o:detectmouseclick="t" type="solid" color2="#4f47d1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lang w:val="gl-ES"/>
        </w:rPr>
        <w:t>O Traballo de Fin de Estudos (TFE) constitúe o último chanzo no proceso formativo das ensinanzas superiores de arte dramática. Implica a presentación dun traballo a través do cal o alumnado debe demostrar que posúe as competencias asociadas ao Título de Grao en Ensinanzas Artísticas Superiores de Arte Dramática na especialidade correspondente.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lang w:val="gl-ES"/>
        </w:rPr>
        <w:t>O TFE poderá ter as seguintes orientacións, en función da especialidade que curse o alumnado matriculado: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numPr>
          <w:ilvl w:val="0"/>
          <w:numId w:val="2"/>
        </w:numPr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  <w:t>Dirección escénica e Dramaturxia</w:t>
      </w:r>
    </w:p>
    <w:p>
      <w:pPr>
        <w:pStyle w:val="Cos"/>
        <w:numPr>
          <w:ilvl w:val="0"/>
          <w:numId w:val="2"/>
        </w:numPr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  <w:t>Escenografía</w:t>
      </w:r>
    </w:p>
    <w:p>
      <w:pPr>
        <w:pStyle w:val="Cos"/>
        <w:numPr>
          <w:ilvl w:val="0"/>
          <w:numId w:val="2"/>
        </w:numPr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  <w:t>Interpretación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lang w:val="gl-ES"/>
        </w:rPr>
        <w:t>As pautas para o desenvolvemento do TFE están recollidas no artigo 36 da Orde do 21 de novembro de 2016, que indica ao respecto: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numPr>
          <w:ilvl w:val="0"/>
          <w:numId w:val="3"/>
        </w:numPr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  <w:t>TFE da especialidade de Dirección escénica e dramaturxia</w:t>
      </w:r>
      <w:r>
        <w:rPr>
          <w:rFonts w:eastAsia="Xunta Sans" w:cs="Xunta Sans" w:ascii="Xunta Sans" w:hAnsi="Xunta Sans"/>
          <w:lang w:val="gl-ES"/>
        </w:rPr>
        <w:t xml:space="preserve">: Elaboración e posterior presentación e defensa, diante dun tribunal, dun </w:t>
      </w:r>
      <w:r>
        <w:rPr>
          <w:rFonts w:eastAsia="Xunta Sans" w:cs="Xunta Sans" w:ascii="Xunta Sans" w:hAnsi="Xunta Sans"/>
          <w:b/>
          <w:bCs/>
          <w:color w:val="007BC4"/>
          <w:lang w:val="gl-ES"/>
        </w:rPr>
        <w:t>traballo práctico de carácter escénico, coa correspondente memoria</w:t>
      </w:r>
      <w:r>
        <w:rPr>
          <w:rFonts w:eastAsia="Xunta Sans" w:cs="Xunta Sans" w:ascii="Xunta Sans" w:hAnsi="Xunta Sans"/>
          <w:lang w:val="gl-ES"/>
        </w:rPr>
        <w:t>, que permita unha demostración empírica de ter adquirido as competencias transversais, xerais e específicas da titulación e do itinerario. A duración e características deste establecerase en función dos criterios elaborados polo departamento e tendo en conta os medios dispoñibles no centro.</w:t>
      </w:r>
    </w:p>
    <w:p>
      <w:pPr>
        <w:pStyle w:val="Cos"/>
        <w:numPr>
          <w:ilvl w:val="0"/>
          <w:numId w:val="3"/>
        </w:numPr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  <w:t>TFE da especialidade de Escenografía</w:t>
      </w:r>
      <w:r>
        <w:rPr>
          <w:rFonts w:eastAsia="Xunta Sans" w:cs="Xunta Sans" w:ascii="Xunta Sans" w:hAnsi="Xunta Sans"/>
          <w:lang w:val="gl-ES"/>
        </w:rPr>
        <w:t xml:space="preserve">: Elaboración, e posterior presentación e defensa, diante dun tribunal, dun </w:t>
      </w:r>
      <w:r>
        <w:rPr>
          <w:rFonts w:eastAsia="Xunta Sans" w:cs="Xunta Sans" w:ascii="Xunta Sans" w:hAnsi="Xunta Sans"/>
          <w:b/>
          <w:bCs/>
          <w:color w:val="007BC4"/>
          <w:lang w:val="gl-ES"/>
        </w:rPr>
        <w:t>proxecto escenográfico, coa correspondente memoria</w:t>
      </w:r>
      <w:r>
        <w:rPr>
          <w:rFonts w:eastAsia="Xunta Sans" w:cs="Xunta Sans" w:ascii="Xunta Sans" w:hAnsi="Xunta Sans"/>
          <w:lang w:val="gl-ES"/>
        </w:rPr>
        <w:t>, que permita unha demostración empírica de ter adquirido as competencias transversais, xerais e específicas da titulación e do itinerario. As características deste estableceranse en función dos criterios elaborados polo departamento e tendo en conta os medios dispoñibles no centro.</w:t>
      </w:r>
    </w:p>
    <w:p>
      <w:pPr>
        <w:pStyle w:val="Cos"/>
        <w:numPr>
          <w:ilvl w:val="0"/>
          <w:numId w:val="3"/>
        </w:numPr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  <w:t>TFE da especialidade de Interpretación</w:t>
      </w:r>
      <w:r>
        <w:rPr>
          <w:rFonts w:eastAsia="Xunta Sans" w:cs="Xunta Sans" w:ascii="Xunta Sans" w:hAnsi="Xunta Sans"/>
          <w:lang w:val="gl-ES"/>
        </w:rPr>
        <w:t xml:space="preserve">: Elaboración e posterior presentación e defensa, diante dun tribunal, dun </w:t>
      </w:r>
      <w:r>
        <w:rPr>
          <w:rFonts w:eastAsia="Xunta Sans" w:cs="Xunta Sans" w:ascii="Xunta Sans" w:hAnsi="Xunta Sans"/>
          <w:b/>
          <w:bCs/>
          <w:color w:val="007BC4"/>
          <w:lang w:val="gl-ES"/>
        </w:rPr>
        <w:t>traballo práctico de carácter escénico, coa correspondente memoria</w:t>
      </w:r>
      <w:r>
        <w:rPr>
          <w:rFonts w:eastAsia="Xunta Sans" w:cs="Xunta Sans" w:ascii="Xunta Sans" w:hAnsi="Xunta Sans"/>
          <w:lang w:val="gl-ES"/>
        </w:rPr>
        <w:t>, que permita unha demostración empírica de ter adquirido as competencias transversais, xerais e específicas da titulación e do itinerario. A duración e características deste establecerase en función dos criterios elaborados polo departamento e tendo en conta os medios dispoñibles no centro.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lang w:val="gl-ES"/>
        </w:rPr>
        <w:t>Atendendo ao perfil académico propio de cada alumna/o, e sempre que medie unha solicitude debidamente xustificada, a Comisión de Coordinación Pedagóxica poderá autorizar a elaboración de traballos de investigación ou cunha orientación pedagóxica.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numPr>
          <w:ilvl w:val="0"/>
          <w:numId w:val="4"/>
        </w:numPr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  <w:t>TFE cunha orientación investigadora</w:t>
      </w:r>
      <w:r>
        <w:rPr>
          <w:rFonts w:eastAsia="Xunta Sans" w:cs="Xunta Sans" w:ascii="Xunta Sans" w:hAnsi="Xunta Sans"/>
          <w:lang w:val="gl-ES"/>
        </w:rPr>
        <w:t>: Debe estar relacionado con disciplinas de formación básica ou obrigatorias cursadas polo/a alumno/a ao longo dos seus estudos, e deberá ter unha extensión mínima de cen páxinas.</w:t>
      </w:r>
    </w:p>
    <w:p>
      <w:pPr>
        <w:pStyle w:val="Cos"/>
        <w:numPr>
          <w:ilvl w:val="0"/>
          <w:numId w:val="4"/>
        </w:numPr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  <w:t>TFE cunha orientación pedagóxica</w:t>
      </w:r>
      <w:r>
        <w:rPr>
          <w:rFonts w:eastAsia="Xunta Sans" w:cs="Xunta Sans" w:ascii="Xunta Sans" w:hAnsi="Xunta Sans"/>
          <w:lang w:val="gl-ES"/>
        </w:rPr>
        <w:t>: O traballo abordará cuestións teóricas, metodolóxicas ou prácticas vinculadas coa educación teatral ou desenvolverá propostas e/ou materiais didácticos específicos para acadar as finalidades e obxectivos propios de calquera modalidade de educación teatral, e deberá ter unha extensión mínima de cen páxinas.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w:t>A supervisión e tutela deses traballos poderá asignarse ao profesorado de todo o centro, con independencia do departamento ao que estean adscritos.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lang w:val="gl-ES"/>
        </w:rPr>
        <w:t>Programación anual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lang w:val="gl-ES"/>
        </w:rPr>
        <w:t xml:space="preserve">As pautas de avaliación dos TFE están recollidas nas programacións anuais, que trasladará o profesorado titor ao alumnado, estarán a disposición do alumnado nos departamentos didácticos e na xefatura de estudos e serán publicadas na páxina web da ESADg. 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lang w:val="gl-ES"/>
        </w:rPr>
        <w:t>Matrícula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lang w:val="gl-ES"/>
        </w:rPr>
        <w:t>O alumnado matricularase no TFE ao comezo do ano académico correspondente. Excepcionalmente, a xefatura de estudos do centro poderá autorizar a matrícula no TFE ao alumnado con disciplinas pendentes, sempre que a suma dos créditos asociados a estas non sexa superior a 15.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lang w:val="gl-ES"/>
        </w:rPr>
        <w:t>Inscrición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lang w:val="gl-ES"/>
        </w:rPr>
        <w:t>O alumnado do TFE deberá propoñerlle ao departamento da especialidade que estea cursando, nos prazos que para cada curso escolar se determinen desde a Comisión de Coordinación Pedagóxica, e achegando a documentación necesaria, o traballo ou tema concreto que pretende desenvolver. O departamento, vistas as propostas do alumnado, proporá á xefatura de estudos a asignación de titor/a, e determinará a idoneidade do proxecto presentado en función dos requisitos exixibles. De non considerarse idónea a proposta formulada, a/o alumna/o deberá aceptar os cambios propostos polo/a titor/a, ou formular unha nova proposta, no prazo sinalado polo departamento. As solicitudes de TFE que impliquen a realización de traballos de investigación ou cunha orientación pedagóxica serán derivados polo departamento, co correspondente informe, á Comisión de Coordinación Pedagóxica, para a súa avaliación e autorización, se proceder.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lang w:val="gl-ES"/>
        </w:rPr>
        <w:t>Realización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lang w:val="gl-ES"/>
        </w:rPr>
        <w:t>Unha vez asignados os/as titores/as de cada traballo, o alumnado procede ao seu desenvolvemento e realización. O/A titor/a é a persoa responsable do seguimento do traballo en curso, mediante o establecemento de xuntanzas periódicas onde se analice o seu desenvolvemento.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lang w:val="gl-ES"/>
        </w:rPr>
        <w:t>Presentación e defensa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lang w:val="gl-ES"/>
        </w:rPr>
        <w:t>No mes de xuño e/ou xullo, segundo o calendario aprobado pola CCP, procederase á presentación e defensa do TFE, que terá lugar en dous días, dos cales o primeiro se dedicará á presentación pública do traballo. No segundo día terá lugar a defensa pública do traballo diante do Tribunal. Nese momento, o/a alumno/a fará a presentación e defensa da Memoria do TFE, que tivo que ser enviada ao Tribunal cunha antelación mínima de sete días.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u w:val="none" w:color="007BC4"/>
          <w:lang w:val="gl-ES"/>
        </w:rPr>
        <w:t>Avaliación</w:t>
      </w:r>
      <w:r>
        <w:rPr>
          <w:rFonts w:eastAsia="Xunta Sans" w:cs="Xunta Sans" w:ascii="Xunta Sans" w:hAnsi="Xunta Sans"/>
          <w:lang w:val="gl-ES"/>
        </w:rPr>
        <w:t xml:space="preserve"> 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lang w:val="gl-ES"/>
        </w:rPr>
        <w:t xml:space="preserve">Unha vez rematado o acto de defensa do TFE, o Tribunal emite un acta única, elaborada a partir das actas individuais de cada unha das persoas integrantes do tribunal. 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lang w:val="gl-ES"/>
        </w:rPr>
        <w:t>Convocatorias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lang w:val="gl-ES"/>
        </w:rPr>
      </w:pPr>
      <w:r>
        <w:rPr>
          <w:lang w:val="gl-ES"/>
        </w:rPr>
        <w:t xml:space="preserve">O alumnado matriculado no TFE disporá de </w:t>
      </w:r>
      <w:r>
        <w:rPr>
          <w:b/>
          <w:bCs/>
          <w:lang w:val="gl-ES"/>
        </w:rPr>
        <w:t>dúas convocatorias</w:t>
      </w:r>
      <w:r>
        <w:rPr>
          <w:lang w:val="gl-ES"/>
        </w:rPr>
        <w:t>, ordinaria e extraordinaria respectivamente, para a superación desta disciplina. O alumnado que non supere ou non presente o TFE no curso escolar en que finaliza os estudos, terá dereito a utilizar as convocatorias correspondentes durante o primeiro cuadrimestre do seguinte ano académico.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708" w:top="1440" w:footer="708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  <w:font w:name="Tahoma">
    <w:charset w:val="01"/>
    <w:family w:val="swiss"/>
    <w:pitch w:val="variable"/>
  </w:font>
  <w:font w:name="OpenSymbol">
    <w:altName w:val="Arial Unicode MS"/>
    <w:charset w:val="01"/>
    <w:family w:val="auto"/>
    <w:pitch w:val="variable"/>
  </w:font>
  <w:font w:name="Arial">
    <w:charset w:val="01"/>
    <w:family w:val="swiss"/>
    <w:pitch w:val="variable"/>
  </w:font>
  <w:font w:name="Xunta Sans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16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125"/>
      <w:gridCol w:w="2553"/>
      <w:gridCol w:w="2792"/>
      <w:gridCol w:w="1546"/>
    </w:tblGrid>
    <w:tr>
      <w:trPr/>
      <w:tc>
        <w:tcPr>
          <w:tcW w:w="2125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>SGIC - ESADg</w:t>
          </w:r>
        </w:p>
      </w:tc>
      <w:tc>
        <w:tcPr>
          <w:tcW w:w="2553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Código: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AC701.12</w:t>
          </w:r>
        </w:p>
      </w:tc>
      <w:tc>
        <w:tcPr>
          <w:tcW w:w="2792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Edición: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2026-1005</w:t>
          </w:r>
        </w:p>
      </w:tc>
      <w:tc>
        <w:tcPr>
          <w:tcW w:w="1546" w:type="dxa"/>
          <w:tcBorders/>
        </w:tcPr>
        <w:p>
          <w:pPr>
            <w:pStyle w:val="Footer"/>
            <w:widowControl/>
            <w:spacing w:before="0" w:after="0"/>
            <w:jc w:val="right"/>
            <w:rPr>
              <w:rFonts w:ascii="Xunta Sans" w:hAnsi="Xunta Sans"/>
              <w:color w:val="B0B82E"/>
            </w:rPr>
          </w:pPr>
          <w:r>
            <w:rPr>
              <w:rStyle w:val="PageNumber"/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fldChar w:fldCharType="begin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instrText xml:space="preserve"> PAGE </w:instrTex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separate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t>3</w: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end"/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de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fldChar w:fldCharType="begin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instrText xml:space="preserve"> NUMPAGES </w:instrTex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separate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t>3</w: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end"/>
          </w:r>
        </w:p>
      </w:tc>
    </w:tr>
  </w:tbl>
  <w:p>
    <w:pPr>
      <w:pStyle w:val="Normal"/>
      <w:rPr>
        <w:lang w:val="gl-ES"/>
      </w:rPr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16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125"/>
      <w:gridCol w:w="2553"/>
      <w:gridCol w:w="2792"/>
      <w:gridCol w:w="1546"/>
    </w:tblGrid>
    <w:tr>
      <w:trPr/>
      <w:tc>
        <w:tcPr>
          <w:tcW w:w="2125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>SGIC - ESADg</w:t>
          </w:r>
        </w:p>
      </w:tc>
      <w:tc>
        <w:tcPr>
          <w:tcW w:w="2553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Código: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AC701.12</w:t>
          </w:r>
        </w:p>
      </w:tc>
      <w:tc>
        <w:tcPr>
          <w:tcW w:w="2792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Edición: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2026-1005</w:t>
          </w:r>
        </w:p>
      </w:tc>
      <w:tc>
        <w:tcPr>
          <w:tcW w:w="1546" w:type="dxa"/>
          <w:tcBorders/>
        </w:tcPr>
        <w:p>
          <w:pPr>
            <w:pStyle w:val="Footer"/>
            <w:widowControl/>
            <w:spacing w:before="0" w:after="0"/>
            <w:jc w:val="right"/>
            <w:rPr>
              <w:rFonts w:ascii="Xunta Sans" w:hAnsi="Xunta Sans"/>
              <w:color w:val="B0B82E"/>
            </w:rPr>
          </w:pPr>
          <w:r>
            <w:rPr>
              <w:rStyle w:val="PageNumber"/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fldChar w:fldCharType="begin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instrText xml:space="preserve"> PAGE </w:instrTex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separate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t>3</w: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end"/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de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fldChar w:fldCharType="begin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instrText xml:space="preserve"> NUMPAGES </w:instrTex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separate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t>3</w: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end"/>
          </w:r>
        </w:p>
      </w:tc>
    </w:tr>
  </w:tbl>
  <w:p>
    <w:pPr>
      <w:pStyle w:val="Normal"/>
      <w:rPr>
        <w:lang w:val="gl-ES"/>
      </w:rPr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9026"/>
        <w:tab w:val="center" w:pos="4513" w:leader="none"/>
        <w:tab w:val="right" w:pos="9000" w:leader="none"/>
      </w:tabs>
      <w:rPr>
        <w:lang w:val="gl-ES"/>
      </w:rPr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-94615</wp:posOffset>
          </wp:positionH>
          <wp:positionV relativeFrom="page">
            <wp:posOffset>10499725</wp:posOffset>
          </wp:positionV>
          <wp:extent cx="7714615" cy="183515"/>
          <wp:effectExtent l="0" t="0" r="0" b="0"/>
          <wp:wrapNone/>
          <wp:docPr id="2" name="officeArt object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fficeArt object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14615" cy="183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5731510" cy="575945"/>
          <wp:effectExtent l="0" t="0" r="0" b="0"/>
          <wp:docPr id="3" name="Imagem2" descr="Imagem 1922136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2" descr="Imagem 192213622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5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tabs>
        <w:tab w:val="clear" w:pos="9026"/>
        <w:tab w:val="center" w:pos="4513" w:leader="none"/>
        <w:tab w:val="right" w:pos="9000" w:leader="none"/>
      </w:tabs>
      <w:rPr>
        <w:lang w:val="gl-ES"/>
      </w:rPr>
    </w:pPr>
    <w:r>
      <w:rPr>
        <w:lang w:val="gl-ES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9026"/>
        <w:tab w:val="center" w:pos="4513" w:leader="none"/>
        <w:tab w:val="right" w:pos="9000" w:leader="none"/>
      </w:tabs>
      <w:rPr>
        <w:lang w:val="gl-ES"/>
      </w:rPr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-94615</wp:posOffset>
          </wp:positionH>
          <wp:positionV relativeFrom="page">
            <wp:posOffset>10499725</wp:posOffset>
          </wp:positionV>
          <wp:extent cx="7714615" cy="183515"/>
          <wp:effectExtent l="0" t="0" r="0" b="0"/>
          <wp:wrapNone/>
          <wp:docPr id="4" name="officeArt object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fficeArt object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14615" cy="183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5731510" cy="575945"/>
          <wp:effectExtent l="0" t="0" r="0" b="0"/>
          <wp:docPr id="5" name="Imagem2" descr="Imagem 1922136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2" descr="Imagem 192213622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5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tabs>
        <w:tab w:val="clear" w:pos="9026"/>
        <w:tab w:val="center" w:pos="4513" w:leader="none"/>
        <w:tab w:val="right" w:pos="9000" w:leader="none"/>
      </w:tabs>
      <w:rPr>
        <w:lang w:val="gl-ES"/>
      </w:rPr>
    </w:pPr>
    <w:r>
      <w:rPr>
        <w:lang w:val="gl-ES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gl-ES" w:eastAsia="es-ES_tradn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37c3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qFormat/>
    <w:pPr>
      <w:widowControl w:val="false"/>
      <w:numPr>
        <w:ilvl w:val="0"/>
        <w:numId w:val="0"/>
      </w:numPr>
      <w:spacing w:before="1" w:after="0"/>
      <w:ind w:left="3140" w:right="3192"/>
      <w:jc w:val="center"/>
      <w:outlineLvl w:val="0"/>
    </w:pPr>
    <w:rPr>
      <w:rFonts w:ascii="Calibri" w:hAnsi="Calibri" w:eastAsia="Calibri" w:cs="Calibri"/>
      <w:b/>
      <w:bCs/>
      <w:lang w:val="es-E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437c30"/>
    <w:rPr>
      <w:u w:val="single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ae5d55"/>
    <w:rPr>
      <w:rFonts w:ascii="Tahoma" w:hAnsi="Tahoma" w:cs="Tahoma"/>
      <w:sz w:val="16"/>
      <w:szCs w:val="16"/>
      <w:lang w:val="en-US" w:eastAsia="en-US"/>
    </w:rPr>
  </w:style>
  <w:style w:type="character" w:styleId="Marcas">
    <w:name w:val="Marcas"/>
    <w:qFormat/>
    <w:rPr>
      <w:rFonts w:ascii="OpenSymbol" w:hAnsi="OpenSymbol" w:eastAsia="OpenSymbol" w:cs="OpenSymbol"/>
    </w:rPr>
  </w:style>
  <w:style w:type="character" w:styleId="FollowedHyperlink">
    <w:name w:val="FollowedHyperlink"/>
    <w:basedOn w:val="DefaultParagraphFont"/>
    <w:rPr>
      <w:color w:themeColor="followedHyperlink" w:val="954F72"/>
      <w:u w:val="single"/>
    </w:rPr>
  </w:style>
  <w:style w:type="character" w:styleId="PageNumber">
    <w:name w:val="Page Number"/>
    <w:basedOn w:val="DefaultParagraphFont"/>
    <w:rPr/>
  </w:style>
  <w:style w:type="character" w:styleId="PiedepginaCar">
    <w:name w:val="Pie de página Car"/>
    <w:basedOn w:val="DefaultParagraphFont"/>
    <w:qFormat/>
    <w:rPr/>
  </w:style>
  <w:style w:type="character" w:styleId="EncabezadoCar">
    <w:name w:val="Encabezado Car"/>
    <w:basedOn w:val="DefaultParagraphFont"/>
    <w:qFormat/>
    <w:rPr/>
  </w:style>
  <w:style w:type="character" w:styleId="Caracteresdanotaderodap">
    <w:name w:val="Caracteres da nota de rodapé"/>
    <w:qFormat/>
    <w:rPr/>
  </w:style>
  <w:style w:type="character" w:styleId="Caracteresdanotafinal">
    <w:name w:val="Caracteres da nota final"/>
    <w:qFormat/>
    <w:rPr/>
  </w:style>
  <w:style w:type="character" w:styleId="Smbolosnumricos">
    <w:name w:val="Símbolos numéricos"/>
    <w:qFormat/>
    <w:rPr/>
  </w:style>
  <w:style w:type="character" w:styleId="TextoindependienteCar">
    <w:name w:val="Texto independiente Car"/>
    <w:basedOn w:val="DefaultParagraphFont"/>
    <w:qFormat/>
    <w:rPr>
      <w:rFonts w:ascii="Calibri" w:hAnsi="Calibri" w:eastAsia="Calibri" w:cs="Calibri"/>
      <w:b/>
      <w:bCs/>
      <w:sz w:val="22"/>
      <w:szCs w:val="22"/>
      <w:lang w:eastAsia="en-US"/>
    </w:rPr>
  </w:style>
  <w:style w:type="character" w:styleId="Ttulo1Car">
    <w:name w:val="Título 1 Car"/>
    <w:basedOn w:val="DefaultParagraphFont"/>
    <w:qFormat/>
    <w:rPr>
      <w:rFonts w:ascii="Calibri" w:hAnsi="Calibri" w:eastAsia="Calibri" w:cs="Calibri"/>
      <w:b/>
      <w:bCs/>
      <w:sz w:val="24"/>
      <w:szCs w:val="24"/>
      <w:lang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rsid w:val="00437c30"/>
    <w:pPr>
      <w:widowControl/>
      <w:tabs>
        <w:tab w:val="clear" w:pos="708"/>
        <w:tab w:val="center" w:pos="4513" w:leader="none"/>
        <w:tab w:val="right" w:pos="9026" w:leader="none"/>
      </w:tabs>
      <w:suppressAutoHyphens w:val="true"/>
      <w:bidi w:val="0"/>
      <w:spacing w:before="0" w:after="0"/>
      <w:jc w:val="left"/>
    </w:pPr>
    <w:rPr>
      <w:rFonts w:ascii="Calibri" w:hAnsi="Calibri" w:eastAsia="Arial Unicode MS" w:cs="Arial Unicode MS"/>
      <w:color w:val="000000"/>
      <w:kern w:val="2"/>
      <w:sz w:val="24"/>
      <w:szCs w:val="24"/>
      <w:u w:val="none" w:color="000000"/>
      <w:lang w:val="es-ES_tradnl" w:eastAsia="es-ES_tradnl" w:bidi="ar-SA"/>
    </w:rPr>
  </w:style>
  <w:style w:type="paragraph" w:styleId="Footer">
    <w:name w:val="Footer"/>
    <w:rsid w:val="00437c30"/>
    <w:pPr>
      <w:widowControl/>
      <w:tabs>
        <w:tab w:val="clear" w:pos="708"/>
        <w:tab w:val="center" w:pos="4513" w:leader="none"/>
        <w:tab w:val="right" w:pos="9026" w:leader="none"/>
      </w:tabs>
      <w:suppressAutoHyphens w:val="true"/>
      <w:bidi w:val="0"/>
      <w:spacing w:before="0" w:after="0"/>
      <w:jc w:val="left"/>
    </w:pPr>
    <w:rPr>
      <w:rFonts w:ascii="Calibri" w:hAnsi="Calibri" w:eastAsia="Arial Unicode MS" w:cs="Arial Unicode MS"/>
      <w:color w:val="000000"/>
      <w:kern w:val="2"/>
      <w:sz w:val="24"/>
      <w:szCs w:val="24"/>
      <w:u w:val="none" w:color="000000"/>
      <w:lang w:val="es-ES_tradnl" w:eastAsia="es-ES_tradnl" w:bidi="ar-SA"/>
    </w:rPr>
  </w:style>
  <w:style w:type="paragraph" w:styleId="Cos" w:customStyle="1">
    <w:name w:val="Cos"/>
    <w:qFormat/>
    <w:rsid w:val="00437c30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2"/>
      <w:sz w:val="24"/>
      <w:szCs w:val="24"/>
      <w:u w:val="none" w:color="000000"/>
      <w:lang w:val="gl-ES" w:eastAsia="es-ES_tradnl" w:bidi="ar-SA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ae5d55"/>
    <w:pPr/>
    <w:rPr>
      <w:rFonts w:ascii="Tahoma" w:hAnsi="Tahoma" w:cs="Tahoma"/>
      <w:sz w:val="16"/>
      <w:szCs w:val="16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 Unicode MS" w:cs="Arial"/>
      <w:color w:val="000000"/>
      <w:kern w:val="0"/>
      <w:sz w:val="20"/>
      <w:szCs w:val="20"/>
      <w:lang w:val="es-ES" w:eastAsia="es-ES_tradnl" w:bidi="ar-SA"/>
    </w:rPr>
  </w:style>
  <w:style w:type="paragraph" w:styleId="Standard">
    <w:name w:val="Standard"/>
    <w:qFormat/>
    <w:pPr>
      <w:widowControl/>
      <w:suppressAutoHyphens w:val="true"/>
      <w:bidi w:val="0"/>
      <w:spacing w:before="156" w:after="0"/>
      <w:jc w:val="left"/>
      <w:textAlignment w:val="baseline"/>
    </w:pPr>
    <w:rPr>
      <w:rFonts w:ascii="Xunta Sans" w:hAnsi="Xunta Sans" w:eastAsia="Xunta Sans" w:cs="Xunta Sans"/>
      <w:color w:val="auto"/>
      <w:kern w:val="2"/>
      <w:sz w:val="20"/>
      <w:szCs w:val="20"/>
      <w:lang w:val="es-ES" w:eastAsia="zh-CN" w:bidi="hi-IN"/>
    </w:rPr>
  </w:style>
  <w:style w:type="paragraph" w:styleId="elementtoproof">
    <w:name w:val="elementtoproof"/>
    <w:basedOn w:val="Normal"/>
    <w:qFormat/>
    <w:pPr>
      <w:spacing w:before="280" w:after="280"/>
    </w:pPr>
    <w:rPr>
      <w:rFonts w:ascii="Times New Roman" w:hAnsi="Times New Roman" w:eastAsia="Times New Roman" w:cs="Times New Roman"/>
      <w:kern w:val="0"/>
      <w:lang w:eastAsia="pt-PT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">
    <w:name w:val="Frame Contents"/>
    <w:basedOn w:val="Normal"/>
    <w:qFormat/>
    <w:pPr>
      <w:widowControl w:val="false"/>
      <w:suppressAutoHyphens w:val="true"/>
    </w:pPr>
    <w:rPr>
      <w:rFonts w:cs="Calibri"/>
      <w:kern w:val="0"/>
      <w:sz w:val="22"/>
      <w:szCs w:val="22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atabela">
    <w:name w:val="Título da tabela"/>
    <w:basedOn w:val="Contedodatabela"/>
    <w:qFormat/>
    <w:pPr>
      <w:suppressLineNumbers/>
      <w:jc w:val="center"/>
    </w:pPr>
    <w:rPr>
      <w:b/>
      <w:bCs/>
    </w:rPr>
  </w:style>
  <w:style w:type="paragraph" w:styleId="Contedodalista">
    <w:name w:val="Conteúdo da lista"/>
    <w:basedOn w:val="Normal"/>
    <w:qFormat/>
    <w:pPr>
      <w:ind w:left="567"/>
    </w:pPr>
    <w:rPr/>
  </w:style>
  <w:style w:type="paragraph" w:styleId="TableParagraph">
    <w:name w:val="Table Paragraph"/>
    <w:basedOn w:val="Normal"/>
    <w:qFormat/>
    <w:pPr>
      <w:widowControl w:val="false"/>
    </w:pPr>
    <w:rPr>
      <w:rFonts w:ascii="Calibri" w:hAnsi="Calibri" w:eastAsia="Calibri" w:cs="Calibri"/>
      <w:sz w:val="22"/>
      <w:szCs w:val="22"/>
      <w:lang w:val="es-ES"/>
    </w:rPr>
  </w:style>
  <w:style w:type="numbering" w:styleId="Semlista" w:default="1">
    <w:name w:val="Sem lista"/>
    <w:uiPriority w:val="99"/>
    <w:semiHidden/>
    <w:unhideWhenUsed/>
    <w:qFormat/>
  </w:style>
  <w:style w:type="numbering" w:styleId="Vinyetes" w:customStyle="1">
    <w:name w:val="Vinyetes"/>
    <w:qFormat/>
    <w:rsid w:val="00437c30"/>
  </w:style>
  <w:style w:type="numbering" w:styleId="Numeraci">
    <w:name w:val="Numeració"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437c3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F4E86F-1090-4C2D-8FFF-3141B00E1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Collabora_Office/24.04.14.3$Linux_X86_64 LibreOffice_project/54d8f210e7016c92953f55a6d1624e360fe0f876</Application>
  <AppVersion>15.0000</AppVersion>
  <Pages>3</Pages>
  <Words>871</Words>
  <Characters>5061</Characters>
  <CharactersWithSpaces>5974</CharactersWithSpaces>
  <Paragraphs>36</Paragraphs>
  <Company>..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2026-10-05T08:59:00Z</dcterms:created>
  <dc:creator>Dirección</dc:creator>
  <dc:description/>
  <dc:language>pt-PT</dc:language>
  <cp:lastModifiedBy/>
  <cp:lastPrinted>2026-10-05T10:14:31Z</cp:lastPrinted>
  <dcterms:modified xsi:type="dcterms:W3CDTF">2026-10-05T10:14:35Z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